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ind w:firstLine="0"/>
        <w:jc w:val="center"/>
      </w:pPr>
      <w:r>
        <w:rPr>
          <w:rFonts w:ascii="Times New Roman" w:hAnsi="Times New Roman" w:eastAsia="Times New Roman"/>
          <w:b/>
          <w:i w:val="0"/>
          <w:color w:val="17365D"/>
          <w:sz w:val="32"/>
        </w:rPr>
        <w:t>Проект уведомления об обработке персональных данных (ст. 22 152-ФЗ)</w:t>
      </w:r>
    </w:p>
    <w:p>
      <w:pPr>
        <w:spacing w:after="12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sz w:val="28"/>
        </w:rPr>
        <w:t>BSLEGAL — оператор: физическое лицо (временный режим)</w:t>
      </w:r>
    </w:p>
    <w:p>
      <w:pPr>
        <w:spacing w:after="12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sz w:val="28"/>
        </w:rPr>
        <w:t>Черновик для подачи в Роскомнадзор (pd.rkn.gov.ru)</w:t>
      </w:r>
    </w:p>
    <w:p>
      <w:pPr>
        <w:spacing w:after="12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Приказ РКН от 28.10.2022 № 180 · актуализация 2026-07-25</w:t>
      </w:r>
    </w:p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28"/>
        </w:rPr>
        <w:t>Инструкция: docs/reestr-ekspert-paket/12-RKN-UVEDOMLENIE.md. ИНН оператора-физлица вписать вручную. Документ не публикуется на сайте — только для личного кабинета РКН. Не путать с реестром Минцифры (ФГИС «Реестры ПО»).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1. Сведения об операторе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Тип оператора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Физическое лицо (временно; позже — ООО)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ФИО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Сергеев Алексей Артемович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ИНН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 (вписать вручную)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Адрес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ДНР, г. Донецк, пр-кт Ильича, 21, кв. 16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Email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bslegalofficial@gmail.com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Телефон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+7 (938) 158-70-09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Сайт сбора ПДн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https://bslegalofficial.ru/</w:t>
            </w:r>
          </w:p>
        </w:tc>
      </w:tr>
    </w:tbl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2. Цель обработки (по каждой цели — отдельно в форме РКН)</w:t>
      </w:r>
    </w:p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Цель 1 — оказание услуг сервиса BSLEGAL: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Цель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Оказание услуг сервиса BSLEGAL (доступ к платформе, консультации, подготовка документов, сопровождение правовых вопросов для частных лиц и бизнеса)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Категории субъектов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Пользователи сайта и сервиса; клиенты и потенциальные клиенты (физлица); представители организаций-клиентов (B2B); лица, направившие обращения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Категории ПДн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Иные: ФИО, контакты (телефон, email), сведения об обращениях и загруженных документах, сведения об организации/роли (B2B), технические данные (IP, логи, технические cookie)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Правовое основание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Согласие субъекта (ст. 6 ч. 1 п. 1 152-ФЗ); исполнение договора / оферты (ст. 6 ч. 1 п. 5); требования законодательства РФ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Перечень действий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Сбор, запись, систематизация, накопление, хранение, уточнение, извлечение, использование, передача (предоставление, доступ), обезличивание, блокирование, удаление, уничтожение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Способы обработки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Смешанная (автоматизированная + с участием человека)</w:t>
            </w:r>
          </w:p>
        </w:tc>
      </w:tr>
    </w:tbl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Цель 2 — соблюдение законодательства и защита прав: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Цель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Соблюдение требований законодательства, защита прав и законных интересов оператора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Категории субъектов / ПДн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Те же, в объёме, необходимом для исполнения обязанностей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Основание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ст. 6 ч. 1 п. 2 и иные применимые пункты 152-ФЗ / иные федеральные законы</w:t>
            </w:r>
          </w:p>
        </w:tc>
      </w:tr>
    </w:tbl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3. Меры по ст. 18.1 и 19 152-ФЗ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Опубликована Политика обработки ПДн на сайте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Локальные акты / типовые формы размещены в разделе /legal/operator-local-acts.html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Ограничение доступа к ПДн; TLS при передаче; резервное копирование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Место БД: Российская Федерация (хостинг BEGET)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Уровень защищённости определяется по ПП РФ № 1119 (карточка в локальных актах)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СКЗИ: указать при наличии; иначе — «не применяются / TLS штатными средствами хостинга»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4. Ответственный за организацию обработки ПДн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ФИО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Сергеев Алексей Артемович (сам оператор-физлицо)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Телефон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+7 (938) 158-70-09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Почта / email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bslegalofficial@gmail.com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Адрес для корреспонденции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ДНР, г. Донецк, пр-кт Ильича, 21, кв. 16</w:t>
            </w:r>
          </w:p>
        </w:tc>
      </w:tr>
    </w:tbl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5. Сроки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Дата начала обработки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25.07.2026 (или фактическая дата запуска сбора)</w:t>
            </w:r>
          </w:p>
        </w:tc>
      </w:tr>
      <w:tr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Срок / условие прекращения</w:t>
            </w:r>
          </w:p>
        </w:tc>
        <w:tc>
          <w:tcPr>
            <w:tcW w:type="dxa" w:w="4844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До достижения целей обработки либо отзыва согласия / требования субъекта / истечения сроков хранения, указанных в Политике (как правило до 3 лет после договора для претензий; бухучёт — по НПА)</w:t>
            </w:r>
          </w:p>
        </w:tc>
      </w:tr>
    </w:tbl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6. Трансграничная передача</w:t>
      </w:r>
    </w:p>
    <w:p>
      <w:pPr>
        <w:spacing w:lineRule="auto" w:line="276" w:after="12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Отсутствует (не планируется).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7. Место нахождения БД граждан РФ</w:t>
      </w:r>
    </w:p>
    <w:p>
      <w:pPr>
        <w:spacing w:lineRule="auto" w:line="276" w:after="12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Российская Федерация (хостинг BEGET, серверы в РФ). IP публичного сайта: 62.113.107.252 (уточнять при смене инфраструктуры).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8. Обеспечение безопасности (кратко для формы)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Размещение ИСПДн на территории РФ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Шифрование канала (HTTPS/TLS)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Разграничение доступа, учёт обращений субъектов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Порядок уничтожения и акт — по Политике и локальным актам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Веб-аналитика третьих лиц — не используется в текущей конфигурации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9. Cookie и веб-аналитика</w:t>
      </w:r>
    </w:p>
    <w:p>
      <w:pPr>
        <w:spacing w:lineRule="auto" w:line="276" w:after="12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Настоящий раздел фиксирует позицию оператора по использованию cookie и средств веб-аналитики на сайте https://bslegalofficial.ru/.</w:t>
      </w:r>
    </w:p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9.1. Технические (строго необходимые) cookie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Используются для работы сайта, поддержания сессии, обеспечения безопасности и сохранения факта согласия пользователя на обработку ПДн.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Раскрываются в Политике обработки персональных данных. Не являются маркетинговой или рекламной аналитикой.</w:t>
      </w:r>
    </w:p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9.2. Аналитические cookie / Яндекс.Метрика / аналоги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Подключаются ТОЛЬКО после явного согласия пользователя («Разрешить все» или отдельное разрешение аналитики в баннере cookie).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До получения согласия скрипты счётчиков и аналитические cookie НЕ загружаются.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В текущей сборке веб-аналитика НЕ подключена: отсутствует ID счётчика в конфигурации, скрипты не инициализируются.</w:t>
      </w:r>
    </w:p>
    <w:p>
      <w:pPr>
        <w:spacing w:lineRule="auto" w:line="276" w:after="12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9.3. Рекламные cookie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Рекламные cookie и рекламные пиксели третьих лиц не используются.</w:t>
      </w:r>
    </w:p>
    <w:p>
      <w:pPr>
        <w:pStyle w:val="Heading2"/>
        <w:spacing w:before="200" w:after="160"/>
        <w:ind w:firstLine="0"/>
        <w:jc w:val="left"/>
      </w:pPr>
      <w:r>
        <w:rPr>
          <w:rFonts w:ascii="Times New Roman" w:hAnsi="Times New Roman" w:eastAsia="Times New Roman"/>
          <w:b/>
          <w:i w:val="0"/>
          <w:color w:val="365F91"/>
          <w:sz w:val="28"/>
        </w:rPr>
        <w:t>10. После получения номера реестра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Вписать номер уведомления в Политику обработки ПДн (privacy-policy.html).</w:t>
      </w:r>
    </w:p>
    <w:p>
      <w:pPr>
        <w:pStyle w:val="ListBullet"/>
        <w:spacing w:lineRule="auto" w:line="276" w:after="6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>При переходе на ООО: изменить тип оператора в учётных данных, включить отображение наименования юридического лица и подать изменение уведомления в РКН.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уведомления об обработке персональных данных (ст. 22 152-ФЗ)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